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dpis2"/>
        <w:numPr>
          <w:ilvl w:val="0"/>
          <w:numId w:val="0"/>
        </w:numPr>
        <w:tabs>
          <w:tab w:val="clear" w:pos="709"/>
          <w:tab w:val="left" w:pos="576" w:leader="none"/>
        </w:tabs>
        <w:bidi w:val="0"/>
        <w:spacing w:before="240" w:after="60"/>
        <w:ind w:left="0" w:right="0" w:hanging="0"/>
        <w:jc w:val="center"/>
        <w:rPr>
          <w:rFonts w:ascii="Times New Roman" w:hAnsi="Times New Roman"/>
          <w:i/>
          <w:i/>
          <w:iCs/>
          <w:color w:val="auto"/>
          <w:sz w:val="32"/>
          <w:szCs w:val="32"/>
          <w:u w:val="single"/>
        </w:rPr>
      </w:pPr>
      <w:r>
        <w:rPr>
          <w:rFonts w:ascii="Times New Roman" w:hAnsi="Times New Roman"/>
          <w:i/>
          <w:iCs/>
          <w:color w:val="auto"/>
          <w:sz w:val="32"/>
          <w:szCs w:val="32"/>
          <w:u w:val="single"/>
        </w:rPr>
        <w:t>Zpráva metodika environmentální výchovy za rok 20</w:t>
      </w:r>
      <w:r>
        <w:rPr>
          <w:rFonts w:eastAsia="Times New Roman" w:cs="Arial" w:ascii="Times New Roman" w:hAnsi="Times New Roman"/>
          <w:b/>
          <w:bCs/>
          <w:i/>
          <w:iCs/>
          <w:color w:val="auto"/>
          <w:kern w:val="2"/>
          <w:sz w:val="32"/>
          <w:szCs w:val="32"/>
          <w:u w:val="single"/>
          <w:lang w:val="cs-CZ" w:eastAsia="ar-SA" w:bidi="hi-IN"/>
        </w:rPr>
        <w:t>2</w:t>
      </w:r>
      <w:r>
        <w:rPr>
          <w:rFonts w:eastAsia="Times New Roman" w:cs="Arial" w:ascii="Times New Roman" w:hAnsi="Times New Roman"/>
          <w:b/>
          <w:bCs/>
          <w:i/>
          <w:iCs/>
          <w:color w:val="auto"/>
          <w:kern w:val="2"/>
          <w:sz w:val="32"/>
          <w:szCs w:val="32"/>
          <w:u w:val="single"/>
          <w:lang w:val="cs-CZ" w:eastAsia="ar-SA" w:bidi="hi-IN"/>
        </w:rPr>
        <w:t>5</w:t>
      </w:r>
      <w:r>
        <w:rPr>
          <w:rFonts w:ascii="Times New Roman" w:hAnsi="Times New Roman"/>
          <w:i/>
          <w:iCs/>
          <w:color w:val="auto"/>
          <w:sz w:val="32"/>
          <w:szCs w:val="32"/>
          <w:u w:val="single"/>
        </w:rPr>
        <w:t>/202</w:t>
      </w:r>
      <w:r>
        <w:rPr>
          <w:rFonts w:eastAsia="Times New Roman" w:cs="Arial" w:ascii="Times New Roman" w:hAnsi="Times New Roman"/>
          <w:b/>
          <w:bCs/>
          <w:i/>
          <w:iCs/>
          <w:color w:val="auto"/>
          <w:kern w:val="2"/>
          <w:sz w:val="32"/>
          <w:szCs w:val="32"/>
          <w:u w:val="single"/>
          <w:lang w:val="cs-CZ" w:eastAsia="ar-SA" w:bidi="hi-IN"/>
        </w:rPr>
        <w:t>6</w:t>
      </w:r>
    </w:p>
    <w:p>
      <w:pPr>
        <w:pStyle w:val="Normln"/>
        <w:spacing w:lineRule="auto" w:line="360"/>
        <w:rPr>
          <w:b/>
          <w:b/>
          <w:bCs/>
        </w:rPr>
      </w:pPr>
      <w:r>
        <w:rPr>
          <w:b/>
          <w:bCs/>
        </w:rPr>
      </w:r>
    </w:p>
    <w:p>
      <w:pPr>
        <w:pStyle w:val="Normln"/>
        <w:spacing w:lineRule="auto" w:line="360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cs="Arial"/>
          <w:b/>
          <w:bCs/>
          <w:i/>
          <w:iCs/>
          <w:sz w:val="28"/>
          <w:szCs w:val="28"/>
        </w:rPr>
        <w:t>Vypracovala:</w:t>
      </w:r>
      <w:r>
        <w:rPr>
          <w:rFonts w:cs="Arial"/>
          <w:i/>
          <w:iCs/>
          <w:sz w:val="28"/>
          <w:szCs w:val="28"/>
        </w:rPr>
        <w:t xml:space="preserve"> Mgr. Jana Podrazká</w:t>
      </w:r>
    </w:p>
    <w:p>
      <w:pPr>
        <w:pStyle w:val="Normln"/>
        <w:tabs>
          <w:tab w:val="clear" w:pos="709"/>
          <w:tab w:val="left" w:pos="540" w:leader="none"/>
        </w:tabs>
        <w:spacing w:lineRule="auto" w:line="240"/>
        <w:jc w:val="both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cs="Arial"/>
          <w:b/>
          <w:bCs/>
          <w:i/>
          <w:iCs/>
          <w:sz w:val="28"/>
          <w:szCs w:val="28"/>
        </w:rPr>
        <w:t>Škola:</w:t>
      </w:r>
      <w:r>
        <w:rPr>
          <w:rFonts w:cs="Arial"/>
          <w:i/>
          <w:iCs/>
          <w:sz w:val="28"/>
          <w:szCs w:val="28"/>
        </w:rPr>
        <w:t xml:space="preserve"> </w:t>
        <w:tab/>
        <w:t>Základní škola a Mateřská škola Josefův Důl</w:t>
      </w:r>
    </w:p>
    <w:p>
      <w:pPr>
        <w:pStyle w:val="Normln"/>
        <w:tabs>
          <w:tab w:val="clear" w:pos="709"/>
          <w:tab w:val="left" w:pos="540" w:leader="none"/>
        </w:tabs>
        <w:spacing w:lineRule="auto" w:line="276"/>
        <w:jc w:val="both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cs="Arial"/>
          <w:i/>
          <w:iCs/>
          <w:sz w:val="28"/>
          <w:szCs w:val="28"/>
        </w:rPr>
        <w:tab/>
        <w:tab/>
        <w:tab/>
        <w:t>okres Jablonec nad Nisou, příspěvková organizace</w:t>
      </w:r>
    </w:p>
    <w:p>
      <w:pPr>
        <w:pStyle w:val="Normln"/>
        <w:tabs>
          <w:tab w:val="clear" w:pos="709"/>
          <w:tab w:val="left" w:pos="540" w:leader="none"/>
        </w:tabs>
        <w:spacing w:lineRule="auto" w:line="240"/>
        <w:jc w:val="both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cs="Arial"/>
          <w:b/>
          <w:bCs/>
          <w:i/>
          <w:iCs/>
          <w:sz w:val="28"/>
          <w:szCs w:val="28"/>
        </w:rPr>
        <w:t>Za období:</w:t>
      </w:r>
      <w:r>
        <w:rPr>
          <w:rFonts w:cs="Arial"/>
          <w:i/>
          <w:iCs/>
          <w:sz w:val="28"/>
          <w:szCs w:val="28"/>
        </w:rPr>
        <w:t xml:space="preserve"> </w:t>
        <w:tab/>
        <w:t>září 20</w:t>
      </w: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2</w:t>
      </w: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5</w:t>
      </w:r>
      <w:r>
        <w:rPr>
          <w:rFonts w:cs="Arial"/>
          <w:i/>
          <w:iCs/>
          <w:sz w:val="28"/>
          <w:szCs w:val="28"/>
        </w:rPr>
        <w:t xml:space="preserve"> – červen 202</w:t>
      </w: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6</w:t>
      </w:r>
    </w:p>
    <w:p>
      <w:pPr>
        <w:pStyle w:val="Normln"/>
        <w:tabs>
          <w:tab w:val="clear" w:pos="709"/>
          <w:tab w:val="left" w:pos="540" w:leader="none"/>
        </w:tabs>
        <w:spacing w:lineRule="auto" w:line="360"/>
        <w:jc w:val="both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cs="Arial"/>
          <w:b/>
          <w:bCs/>
          <w:i/>
          <w:iCs/>
          <w:sz w:val="28"/>
          <w:szCs w:val="28"/>
        </w:rPr>
        <w:t>Zpracováno:</w:t>
      </w:r>
      <w:r>
        <w:rPr>
          <w:rFonts w:cs="Arial"/>
          <w:i/>
          <w:iCs/>
          <w:sz w:val="28"/>
          <w:szCs w:val="28"/>
        </w:rPr>
        <w:t xml:space="preserve"> </w:t>
      </w: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2</w:t>
      </w:r>
      <w:r>
        <w:rPr>
          <w:rFonts w:cs="Arial"/>
          <w:i/>
          <w:iCs/>
          <w:sz w:val="28"/>
          <w:szCs w:val="28"/>
        </w:rPr>
        <w:t xml:space="preserve">. </w:t>
      </w:r>
      <w:r>
        <w:rPr>
          <w:rFonts w:cs="Arial"/>
          <w:i/>
          <w:iCs/>
          <w:sz w:val="28"/>
          <w:szCs w:val="28"/>
        </w:rPr>
        <w:t>srpna</w:t>
      </w:r>
      <w:r>
        <w:rPr>
          <w:rFonts w:cs="Arial"/>
          <w:i/>
          <w:iCs/>
          <w:sz w:val="28"/>
          <w:szCs w:val="28"/>
        </w:rPr>
        <w:t xml:space="preserve"> 202</w:t>
      </w: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6</w:t>
      </w:r>
    </w:p>
    <w:p>
      <w:pPr>
        <w:pStyle w:val="Normln"/>
        <w:tabs>
          <w:tab w:val="clear" w:pos="709"/>
          <w:tab w:val="left" w:pos="540" w:leader="none"/>
        </w:tabs>
        <w:spacing w:lineRule="auto" w:line="360"/>
        <w:jc w:val="both"/>
        <w:rPr>
          <w:rFonts w:ascii="Times New Roman" w:hAnsi="Times New Roman" w:cs="Arial"/>
          <w:i/>
          <w:i/>
          <w:iCs/>
          <w:sz w:val="28"/>
          <w:szCs w:val="28"/>
        </w:rPr>
      </w:pPr>
      <w:r>
        <w:rPr>
          <w:rFonts w:eastAsia="Times New Roman" w:cs="Arial"/>
          <w:i/>
          <w:iCs/>
          <w:color w:val="auto"/>
          <w:kern w:val="2"/>
          <w:sz w:val="28"/>
          <w:szCs w:val="28"/>
          <w:lang w:val="cs-CZ" w:eastAsia="ar-SA" w:bidi="hi-IN"/>
        </w:rPr>
        <w:t>-------------------------------------------------------------------------------------------------------</w:t>
      </w:r>
    </w:p>
    <w:p>
      <w:pPr>
        <w:pStyle w:val="Tlotextu"/>
        <w:bidi w:val="0"/>
        <w:jc w:val="left"/>
        <w:rPr/>
      </w:pPr>
      <w:r>
        <w:rPr/>
        <w:t>Ve školním roce 2025/2026 byla environmentální výchova realizována v souladu se Školním vzdělávacím programem školy. Jejím hlavním cílem bylo rozvíjet u žáků odpovědný vztah k přírodě, podporovat environmentální gramotnost a vést žáky k aktivnímu přístupu při ochraně životního prostředí. Environmentální témata byla přirozeně začleňována do výuky i mimoškolních aktivit napříč všemi ročníky.</w:t>
        <w:br/>
        <w:tab/>
        <w:t>Výuka EVVO probíhala zejména v předmětech prvouka, přírodověda, vlastivěda, přírodopis, zeměpis, fyzika, chemie, pracovní činnosti a výtvarná výchova. Žáci se seznamovali s ochranou přírody, významem vody, půdy a ovzduší, tříděním a recyklací odpadů, ochranou rostlin a živočichů i principy udržitelného rozvoje. Důraz byl kladen na propojování teoretických poznatků s praktickými zkušenostmi a každodenním životem. Environmentální témata byla během školního roku zařazována do projektového vyučování, vycházek do přírody, badatelských aktivit a dalších školních akcí. Žáci byli vedeni k pozorování přírody, hledání souvislostí mezi lidskou činností a stavem životního prostředí a k aktivnímu řešení jednoduchých environmentálních problémů.</w:t>
        <w:br/>
        <w:tab/>
        <w:t xml:space="preserve">Významnou součástí EVVO byly vzdělávací programy externích organizací. Žáci celé školy se zúčastnili programu </w:t>
      </w:r>
      <w:r>
        <w:rPr>
          <w:rStyle w:val="Silnzdraznn"/>
        </w:rPr>
        <w:t xml:space="preserve">Tonda Obal na cestách, </w:t>
      </w:r>
      <w:r>
        <w:rPr>
          <w:rStyle w:val="Silnzdraznn"/>
        </w:rPr>
        <w:t>který</w:t>
      </w:r>
      <w:r>
        <w:rPr/>
        <w:t xml:space="preserve"> přispěl k upevnění správných návyků při nakládání s odpady a vedl žáky k odpovědnému přístupu k životnímu prostředí. Ve spolupráci s Ekocentrem Jablonec nad Nisou proběhl program </w:t>
      </w:r>
      <w:r>
        <w:rPr>
          <w:rStyle w:val="Silnzdraznn"/>
        </w:rPr>
        <w:t>Čtvero ročních dob – podzim</w:t>
      </w:r>
      <w:r>
        <w:rPr/>
        <w:t xml:space="preserve">, při kterém žáci </w:t>
      </w:r>
      <w:r>
        <w:rPr/>
        <w:t xml:space="preserve">1. až 5. třídy </w:t>
      </w:r>
      <w:r>
        <w:rPr/>
        <w:t>prostřednictvím her, pozorování a praktických činností poznávali proměny přírody a význam jednotlivých přírodních jevů.</w:t>
        <w:br/>
        <w:tab/>
        <w:t xml:space="preserve">Velmi přínosné byly programy zaměřené na ochranu vody. Žáci 2.–7. ročníku absolvovali program </w:t>
      </w:r>
      <w:r>
        <w:rPr>
          <w:rStyle w:val="Silnzdraznn"/>
        </w:rPr>
        <w:t>Voda v krajině</w:t>
      </w:r>
      <w:r>
        <w:rPr/>
        <w:t xml:space="preserve">, který hravou a zážitkovou formou vysvětloval koloběh vody v přírodě, význam dešťové vody i možnosti jejího zadržování v krajině. Pomocí názorných modelů porovnávali přirozené a upravené vodní toky, seznamovali se s příčinami povodní a sucha a poznávali význam různých typů půd pro zadržování vody. Žáci 8. a 9. ročníku navázali programem </w:t>
      </w:r>
      <w:r>
        <w:rPr>
          <w:rStyle w:val="Silnzdraznn"/>
        </w:rPr>
        <w:t>Infrastruktura vody</w:t>
      </w:r>
      <w:r>
        <w:rPr/>
        <w:t>, během něhož se seznámili s cestou pitné vody od přírodního zdroje až do domácností, fungováním kanalizační sítě i čistírny odpadních vod. Praktickou činností při sestavování modelu vodovodní a kanalizační sítě si uvědomili význam šetrného hospodaření s vodními zdroji a odpovědného nakládání s odpadními vodami.</w:t>
        <w:br/>
        <w:tab/>
      </w:r>
      <w:r>
        <w:rPr>
          <w:rStyle w:val="Silnzdraznn"/>
        </w:rPr>
        <w:t>Virtuálně v elektrárně -</w:t>
      </w:r>
      <w:r>
        <w:rPr/>
        <w:t xml:space="preserve"> </w:t>
      </w:r>
      <w:r>
        <w:rPr/>
        <w:t xml:space="preserve">on line přenos, </w:t>
      </w:r>
      <w:r>
        <w:rPr/>
        <w:t>který žákům přiblížil výrobu elektrické energie, vedl žáky k zamyšlení nad vlastní spotřebou energie a nad tím, jak může každý člověk svým chováním přispět ke snižování dopadů na životní prostředí.</w:t>
        <w:br/>
        <w:tab/>
        <w:t xml:space="preserve">Žáci druhého stupně navštívili multimediální projekt </w:t>
      </w:r>
      <w:r>
        <w:rPr>
          <w:rStyle w:val="Silnzdraznn"/>
        </w:rPr>
        <w:t>Planeta 3000 – Ganga, jedna řeka, tisíc světů</w:t>
      </w:r>
      <w:r>
        <w:rPr/>
        <w:t>. Pro</w:t>
      </w:r>
      <w:r>
        <w:rPr/>
        <w:t>jekt</w:t>
      </w:r>
      <w:r>
        <w:rPr/>
        <w:t xml:space="preserve"> poutavou formou představil přírodní i kulturní bohatství Indie a upozornil na význam vody pro život člověka. Součástí programu byla problematika znečištění řek, ochrany vodních zdrojů, biodiverzity a udržitelného rozvoje. Žáci si uvědomili, že environmentální problémy mají celosvětový charakter a jejich řešení vyžaduje odpovědný přístup celé společnosti.</w:t>
        <w:br/>
        <w:tab/>
        <w:t xml:space="preserve">Velmi cennou zkušeností pro žáky 6. a 7. ročníku bylo zapojení do celoročního programu </w:t>
      </w:r>
      <w:r>
        <w:rPr>
          <w:rStyle w:val="Silnzdraznn"/>
        </w:rPr>
        <w:t>Můj aktivní rok pro přírodu</w:t>
      </w:r>
      <w:r>
        <w:rPr/>
        <w:t>, realizovaného ve spolupráci se Střediskem ekologické výchovy Divizna Liberec. Program tvořilo šest vzájemně propojených lekcí, které kombinovaly výuku ve škole s terénními aktivitami. Žáci se věnovali krajině, významu vody, ekologické stopě člověka, ochraně ptactva i biodiverzitě. Prakticky se podíleli na výsadbě jedlí, sledovali jejich růst, měřili teplotu půdy a vzduchu, pracovali s badatelskými pomůckami a hledali možnosti, jak svým každodenním jednáním přispět k ochraně přírody. Program významně rozvíjel badatelské dovednosti, schopnost spolupráce i odpovědný přístup k životnímu prostředí.</w:t>
        <w:br/>
        <w:tab/>
        <w:t xml:space="preserve">Škola se tradičně zapojila také do dobrovolnické akce </w:t>
      </w:r>
      <w:r>
        <w:rPr>
          <w:rStyle w:val="Silnzdraznn"/>
        </w:rPr>
        <w:t>Ukliďme Jizerky</w:t>
      </w:r>
      <w:r>
        <w:rPr/>
        <w:t>, inspirované celostátní iniciativou Ukliďme Česko. Žáci pomáhali s úklidem okolí školy a obce, třídili nalezený odpad a diskutovali o možnostech předcházení znečišťování přírody. Praktickou zkušeností si uvědomili, že ochrana životního prostředí začíná každodenním chováním každého jednotlivce. Akce současně podporovala spolupráci mezi žáky, občanskou odpovědnost a pozitivní vztah k místu, kde žijí.</w:t>
        <w:br/>
        <w:tab/>
        <w:t>Realizace EVVO ve školním roce 2025/2026 významně přispěla k rozvoji environmentální gramotnosti žáků. Děti získávaly nejen nové znalosti, ale především praktické zkušenosti a pozitivní postoje k ochraně přírody. Environmentální vzdělávání bylo úspěšně propojeno s běžnou výukou i praktickými činnostmi a podporovalo rozvoj odpovědnosti, spolupráce, ohleduplnosti a aktivního občanství.</w:t>
        <w:br/>
        <w:tab/>
        <w:t xml:space="preserve">V následujícím školním roce bude škola pokračovat v realizaci osvědčených aktivit, spolupráci s environmentálními organizacemi, zapojení do </w:t>
      </w:r>
      <w:r>
        <w:rPr/>
        <w:t xml:space="preserve">vzdělávacích </w:t>
      </w:r>
      <w:r>
        <w:rPr/>
        <w:t>program</w:t>
      </w:r>
      <w:r>
        <w:rPr/>
        <w:t>ů</w:t>
      </w:r>
      <w:r>
        <w:rPr/>
        <w:t xml:space="preserve"> i dobrovolnických akcí zaměřených na ochranu přírody. Nadále bude podporováno propojování environmentální výchovy s praktickými činnostmi a každodenním životem žáků.</w:t>
        <w:br/>
      </w:r>
    </w:p>
    <w:p>
      <w:pPr>
        <w:pStyle w:val="Tlotextu"/>
        <w:bidi w:val="0"/>
        <w:jc w:val="left"/>
        <w:rPr/>
      </w:pPr>
      <w:r>
        <w:rPr/>
        <w:t xml:space="preserve">Vypracovala Jana Podrazká, koordinátorka EVVO 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2">
    <w:name w:val="Heading 2"/>
    <w:basedOn w:val="Nadpis"/>
    <w:next w:val="Tlotextu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ilnzdraznn">
    <w:name w:val="Strong"/>
    <w:qFormat/>
    <w:rPr>
      <w:b/>
      <w:bCs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ln">
    <w:name w:val="Normální"/>
    <w:qFormat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cs-CZ" w:eastAsia="ar-SA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LibreOffice/7.4.3.2$Windows_X86_64 LibreOffice_project/1048a8393ae2eeec98dff31b5c133c5f1d08b890</Application>
  <AppVersion>15.0000</AppVersion>
  <Pages>2</Pages>
  <Words>715</Words>
  <Characters>4704</Characters>
  <CharactersWithSpaces>5428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2026-08-02T21:08:56Z</dcterms:created>
  <dc:creator/>
  <dc:description/>
  <dc:language>cs-CZ</dc:language>
  <cp:lastModifiedBy/>
  <dcterms:modified xsi:type="dcterms:W3CDTF">2026-08-02T21:48:15Z</dcterms:modified>
  <cp:revision>1</cp:revision>
  <dc:subject/>
  <dc:title/>
</cp:coreProperties>
</file>